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286</w:t>
      </w:r>
    </w:p>
    <w:p>
      <w:r>
        <w:t>Bundesgericht (BGE), 2007-07-23, FR</w:t>
      </w:r>
    </w:p>
    <w:p>
      <w:r>
        <w:rPr>
          <w:b/>
        </w:rPr>
        <w:t xml:space="preserve">Quelle: </w:t>
      </w:r>
      <w:r>
        <w:t>https://mcp.opencaselaw.ch/entscheid/bge_133 IV 286</w:t>
      </w:r>
    </w:p>
    <w:p>
      <w:r>
        <w:t>FR: ATF 133 IV 286</w:t>
      </w:r>
    </w:p>
    <w:p>
      <w:r>
        <w:t>IT: DTF 133 IV 286</w:t>
      </w:r>
    </w:p>
    <w:p>
      <w:pPr>
        <w:pStyle w:val="Heading2"/>
      </w:pPr>
      <w:r>
        <w:t>Regeste</w:t>
      </w:r>
    </w:p>
    <w:p>
      <w:r>
        <w:t>Regeste Art. 42 Abs. 2 und Art. 106 Abs. 2 BGG; Anforderungen an die Begründung erhobener Rügen. Für die Rügen der Verletzung von Bundesrecht und internationalem Recht entsprechen die aus Art. 42 Abs. 2 BGG fliessenden Begründungsanforderungen denjenigen, die für die Berufung, die Nichtigkeitsbeschwerde und die Verwaltungsgerichtsbeschwerde galten. Für die Rüge der Verletzung verfassungsmässiger Rechte sowie kantonalen und interkantonalen Rechts entsprechen die Begründungsanforderungen denjenigen, die nach Art. 90 Abs. 1 lit. b OG für die staatsrechtliche Beschwerde galten (E. 1.4).</w:t>
      </w:r>
    </w:p>
    <w:p>
      <w:pPr>
        <w:pStyle w:val="Heading2"/>
      </w:pPr>
      <w:r>
        <w:t>Erwägungen</w:t>
      </w:r>
    </w:p>
    <w:p>
      <w:r>
        <w:rPr>
          <w:b/>
        </w:rPr>
        <w:t>E. 1.4</w:t>
      </w:r>
    </w:p>
    <w:p>
      <w:r>
        <w:t>Le recours doit être motivé (art. 42 al. 1 de la loi du 17 juin 2005 sur le Tribunal fédéral [LTF; RS 173.110])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(cf. Message du 28 février 2001 relatif à la révision totale de l'organisation judiciaire fédérale, FF 2001 p. 4093, qui renvoie ici à tort à l' art. 90 al. 1 let. b OJ [RO 3 p. 521]). En revanche,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Message, FF 2001 p. 4142). Il en découle notamment que les griefs mentionnés à l' art. 106 al. 2 LTF sont irrecevables, s'ils ne satisfont pas aux exigences accrues de motivation prévues par cette disposition. Cela vaut, notamment, pour le grief d'arbitraire dans la constatation des faits, respectivement BGE 133 IV 286 S. 288 l'appréciation des preuves, dès lors qu'il revient à soutenir que les faits ont été établis en violation de l' art. 9 Cst. (...)</w:t>
      </w:r>
    </w:p>
    <w:p>
      <w:r>
        <w:rPr>
          <w:b/>
        </w:rPr>
        <w:t>E. 6</w:t>
      </w:r>
    </w:p>
    <w:p>
      <w:r>
        <w:t>(...)</w:t>
      </w:r>
    </w:p>
    <w:p>
      <w:r>
        <w:rPr>
          <w:b/>
        </w:rPr>
        <w:t>E. 6.2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